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Академия наук Республики Таджикистан,</w:t>
      </w:r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 xml:space="preserve">Институт химии им. </w:t>
      </w:r>
      <w:proofErr w:type="spellStart"/>
      <w:r w:rsidRPr="00A44B94">
        <w:rPr>
          <w:rFonts w:ascii="Arial CYR" w:hAnsi="Arial CYR" w:cs="Arial CYR"/>
          <w:b/>
          <w:bCs/>
          <w:color w:val="4C3C28"/>
        </w:rPr>
        <w:t>В.И.Никитина</w:t>
      </w:r>
      <w:proofErr w:type="spellEnd"/>
      <w:r w:rsidRPr="00A44B94">
        <w:rPr>
          <w:rFonts w:ascii="Arial CYR" w:hAnsi="Arial CYR" w:cs="Arial CYR"/>
          <w:b/>
          <w:bCs/>
          <w:color w:val="4C3C28"/>
        </w:rPr>
        <w:t>,</w:t>
      </w:r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>Отделение химии и наук о материалах РАН,</w:t>
      </w:r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 xml:space="preserve">Институт </w:t>
      </w:r>
      <w:proofErr w:type="spellStart"/>
      <w:r w:rsidRPr="00A44B94">
        <w:rPr>
          <w:rFonts w:ascii="Arial CYR" w:hAnsi="Arial CYR" w:cs="Arial CYR"/>
          <w:b/>
          <w:bCs/>
          <w:color w:val="4C3C28"/>
        </w:rPr>
        <w:t>углехимии</w:t>
      </w:r>
      <w:proofErr w:type="spellEnd"/>
      <w:r w:rsidRPr="00A44B94">
        <w:rPr>
          <w:rFonts w:ascii="Arial CYR" w:hAnsi="Arial CYR" w:cs="Arial CYR"/>
          <w:b/>
          <w:bCs/>
          <w:color w:val="4C3C28"/>
        </w:rPr>
        <w:t xml:space="preserve"> и химического материаловедения СО РАН,</w:t>
      </w:r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 xml:space="preserve">Химический факультет МГУ имени </w:t>
      </w:r>
      <w:proofErr w:type="spellStart"/>
      <w:r w:rsidRPr="00A44B94">
        <w:rPr>
          <w:rFonts w:ascii="Arial CYR" w:hAnsi="Arial CYR" w:cs="Arial CYR"/>
          <w:b/>
          <w:bCs/>
          <w:color w:val="4C3C28"/>
        </w:rPr>
        <w:t>М.В.Ломоносова</w:t>
      </w:r>
      <w:proofErr w:type="spellEnd"/>
      <w:r w:rsidRPr="00A44B94">
        <w:rPr>
          <w:rFonts w:ascii="Arial CYR" w:hAnsi="Arial CYR" w:cs="Arial CYR"/>
          <w:b/>
          <w:bCs/>
          <w:color w:val="4C3C28"/>
        </w:rPr>
        <w:t>,</w:t>
      </w:r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 xml:space="preserve">Институт нефтехимического синтеза им. </w:t>
      </w:r>
      <w:proofErr w:type="spellStart"/>
      <w:r w:rsidRPr="00A44B94">
        <w:rPr>
          <w:rFonts w:ascii="Arial CYR" w:hAnsi="Arial CYR" w:cs="Arial CYR"/>
          <w:b/>
          <w:bCs/>
          <w:color w:val="4C3C28"/>
        </w:rPr>
        <w:t>А.В.Топчиева</w:t>
      </w:r>
      <w:proofErr w:type="spellEnd"/>
      <w:r w:rsidRPr="00A44B94">
        <w:rPr>
          <w:rFonts w:ascii="Arial CYR" w:hAnsi="Arial CYR" w:cs="Arial CYR"/>
          <w:b/>
          <w:bCs/>
          <w:color w:val="4C3C28"/>
        </w:rPr>
        <w:t xml:space="preserve"> РАН,</w:t>
      </w:r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>ООО "</w:t>
      </w:r>
      <w:proofErr w:type="spellStart"/>
      <w:r w:rsidRPr="00A44B94">
        <w:rPr>
          <w:rFonts w:ascii="Arial CYR" w:hAnsi="Arial CYR" w:cs="Arial CYR"/>
          <w:b/>
          <w:bCs/>
          <w:color w:val="4C3C28"/>
        </w:rPr>
        <w:t>Эконовохим</w:t>
      </w:r>
      <w:proofErr w:type="spellEnd"/>
      <w:r w:rsidRPr="00A44B94">
        <w:rPr>
          <w:rFonts w:ascii="Arial CYR" w:hAnsi="Arial CYR" w:cs="Arial CYR"/>
          <w:b/>
          <w:bCs/>
          <w:color w:val="4C3C28"/>
        </w:rPr>
        <w:t>"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Международная научно-практическая конференция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outlineLvl w:val="1"/>
        <w:rPr>
          <w:rFonts w:ascii="Arial CYR" w:hAnsi="Arial CYR" w:cs="Arial CYR"/>
          <w:b/>
          <w:bCs/>
          <w:color w:val="4C3C28"/>
          <w:sz w:val="36"/>
          <w:szCs w:val="36"/>
        </w:rPr>
      </w:pPr>
      <w:r w:rsidRPr="00A44B94">
        <w:rPr>
          <w:rFonts w:ascii="Arial CYR" w:hAnsi="Arial CYR" w:cs="Arial CYR"/>
          <w:b/>
          <w:bCs/>
          <w:color w:val="4C3C28"/>
          <w:sz w:val="36"/>
          <w:szCs w:val="36"/>
        </w:rPr>
        <w:t>Комплексный подход к использованию и переработке угля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Душанбе, Республика Таджикистан, 4–7 июня 2013 г.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734063 Таджикистан, </w:t>
      </w:r>
      <w:r w:rsidRPr="00A44B94">
        <w:rPr>
          <w:rFonts w:ascii="Arial CYR" w:hAnsi="Arial CYR" w:cs="Arial CYR"/>
          <w:color w:val="4C3C28"/>
        </w:rPr>
        <w:t>г. Душанбе</w:t>
      </w:r>
      <w:r w:rsidRPr="00A44B94">
        <w:rPr>
          <w:rFonts w:ascii="Arial CYR" w:hAnsi="Arial CYR" w:cs="Arial CYR"/>
          <w:color w:val="4C3C28"/>
        </w:rPr>
        <w:br/>
        <w:t>ул. Айни, 299/2, Институт химии</w:t>
      </w:r>
      <w:r w:rsidRPr="00A44B94">
        <w:rPr>
          <w:rFonts w:ascii="Arial CYR" w:hAnsi="Arial CYR" w:cs="Arial CYR"/>
          <w:color w:val="4C3C28"/>
        </w:rPr>
        <w:br/>
        <w:t>имени В.И. Никитина АН РТ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outlineLvl w:val="2"/>
        <w:rPr>
          <w:rFonts w:ascii="Arial CYR" w:hAnsi="Arial CYR" w:cs="Arial CYR"/>
          <w:b/>
          <w:bCs/>
          <w:color w:val="4C3C28"/>
          <w:sz w:val="27"/>
          <w:szCs w:val="27"/>
        </w:rPr>
      </w:pPr>
      <w:r w:rsidRPr="00A44B94">
        <w:rPr>
          <w:rFonts w:ascii="Arial CYR" w:hAnsi="Arial CYR" w:cs="Arial CYR"/>
          <w:b/>
          <w:bCs/>
          <w:color w:val="4C3C28"/>
          <w:sz w:val="27"/>
          <w:szCs w:val="27"/>
        </w:rPr>
        <w:t>Информационное письмо №1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Тематика конференции:</w:t>
      </w:r>
    </w:p>
    <w:p w:rsidR="00A44B94" w:rsidRPr="00A44B94" w:rsidRDefault="00A44B94" w:rsidP="00A44B94">
      <w:pPr>
        <w:numPr>
          <w:ilvl w:val="0"/>
          <w:numId w:val="1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Современное состояние химии и технологии газификации угля</w:t>
      </w:r>
    </w:p>
    <w:p w:rsidR="00A44B94" w:rsidRPr="00A44B94" w:rsidRDefault="00A44B94" w:rsidP="00A44B94">
      <w:pPr>
        <w:numPr>
          <w:ilvl w:val="0"/>
          <w:numId w:val="1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Технология и физико-химические аспекты сжигания угля</w:t>
      </w:r>
    </w:p>
    <w:p w:rsidR="00A44B94" w:rsidRPr="00A44B94" w:rsidRDefault="00A44B94" w:rsidP="00A44B94">
      <w:pPr>
        <w:numPr>
          <w:ilvl w:val="0"/>
          <w:numId w:val="1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Проблемы переработки летучих компонентов угля</w:t>
      </w:r>
    </w:p>
    <w:p w:rsidR="00A44B94" w:rsidRPr="00A44B94" w:rsidRDefault="00A44B94" w:rsidP="00A44B94">
      <w:pPr>
        <w:numPr>
          <w:ilvl w:val="0"/>
          <w:numId w:val="1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Экологические аспекты массового применения угля, здоровье населения. Подходы к переработке угля с точки зрения зеленой химии и вопросы инвестиций. </w:t>
      </w:r>
    </w:p>
    <w:p w:rsidR="00A44B94" w:rsidRPr="00A44B94" w:rsidRDefault="00A44B94" w:rsidP="00A44B94">
      <w:pPr>
        <w:numPr>
          <w:ilvl w:val="0"/>
          <w:numId w:val="1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Современные проблемы химии полимеров и новые полимерные материалы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630"/>
        <w:gridCol w:w="3914"/>
      </w:tblGrid>
      <w:tr w:rsidR="00A44B94" w:rsidRPr="00A44B94" w:rsidTr="00A44B94">
        <w:trPr>
          <w:tblCellSpacing w:w="15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jc w:val="center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Организационный Комитет</w:t>
            </w:r>
          </w:p>
          <w:p w:rsidR="00A44B94" w:rsidRPr="00A44B94" w:rsidRDefault="00A44B94" w:rsidP="00A44B94">
            <w:pPr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proofErr w:type="gramStart"/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Сопредседатели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  <w:t>С.М. Алдошин (РАН)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М.И.Илолов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(АН РТ)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В.Н.Пармон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(ИК СО 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Д.Х.Халиков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- зам. председателя (ИХ АН РТ)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З.Р.Исмагилов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- зам. председателя (ИУХМ СО 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А.Р.Хохлов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(МГУ)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Х.М.Ахмедов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(АН РТ)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У.М.Мирсаидов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(ИЯРБ АН РТ)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Х.С.Сафиев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(ГУП ТАЛКО)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М.М.Хакдодов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(МН МО РТ) 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А.Б.</w:t>
            </w:r>
            <w:proofErr w:type="gram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Зезин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(МГУ)</w:t>
            </w:r>
          </w:p>
        </w:tc>
        <w:tc>
          <w:tcPr>
            <w:tcW w:w="600" w:type="dxa"/>
            <w:vAlign w:val="center"/>
            <w:hideMark/>
          </w:tcPr>
          <w:p w:rsidR="00A44B94" w:rsidRPr="00A44B94" w:rsidRDefault="00A44B94" w:rsidP="00A44B94">
            <w:pPr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jc w:val="center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Программный комитет</w:t>
            </w:r>
          </w:p>
          <w:p w:rsidR="00A44B94" w:rsidRPr="00A44B94" w:rsidRDefault="00A44B94" w:rsidP="00A44B94">
            <w:pPr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proofErr w:type="gramStart"/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Сопредседатели 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С.Н.Хаджиев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(ИНХС 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В.В.Лунин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(МГУ)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А.Э.Конторович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(Кем.</w:t>
            </w:r>
            <w:proofErr w:type="gram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</w:t>
            </w:r>
            <w:proofErr w:type="gram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НЦ)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М.Д.Исобаев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- зам. председателя (ИХ АН РТ)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Э.А.Караханов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– зам. председателя (МГУ)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Е.И.Андрейков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(ИОС </w:t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УрО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А.П.Козлов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(ИУХМ СО 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А.Л.Лапидус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(ИОХ 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М.Я.Шпирт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(ИНХС РАН)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В.Д.Абулхаев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(ИХ АН РТ)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З.К.Файзуллов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</w:t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МинЭП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РТ)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br/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Ш.К.Кабиров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(ГУП ТАЛКО)</w:t>
            </w:r>
            <w:proofErr w:type="gramEnd"/>
          </w:p>
        </w:tc>
      </w:tr>
    </w:tbl>
    <w:p w:rsidR="00A44B94" w:rsidRPr="00A44B94" w:rsidRDefault="00A44B94" w:rsidP="00A44B94">
      <w:pPr>
        <w:shd w:val="clear" w:color="auto" w:fill="FFFFDE"/>
        <w:jc w:val="center"/>
        <w:rPr>
          <w:rFonts w:ascii="Arial CYR" w:hAnsi="Arial CYR" w:cs="Arial CYR"/>
          <w:vanish/>
          <w:color w:val="4C3C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8"/>
      </w:tblGrid>
      <w:tr w:rsidR="00A44B94" w:rsidRPr="00A44B94" w:rsidTr="00A44B94">
        <w:trPr>
          <w:tblCellSpacing w:w="15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jc w:val="center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На конференции предполагаются следующие формы представления результатов:</w:t>
            </w:r>
          </w:p>
          <w:p w:rsidR="00A44B94" w:rsidRPr="00A44B94" w:rsidRDefault="00A44B94" w:rsidP="00A44B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Пленарные лекции</w:t>
            </w:r>
          </w:p>
          <w:p w:rsidR="00A44B94" w:rsidRPr="00A44B94" w:rsidRDefault="00A44B94" w:rsidP="00A44B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Устные доклады (30 минут)</w:t>
            </w:r>
          </w:p>
          <w:p w:rsidR="00A44B94" w:rsidRPr="00A44B94" w:rsidRDefault="00A44B94" w:rsidP="00A44B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Устные доклады (15 минут)</w:t>
            </w:r>
          </w:p>
          <w:p w:rsidR="00A44B94" w:rsidRPr="00A44B94" w:rsidRDefault="00A44B94" w:rsidP="00A44B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Стендовые доклады</w:t>
            </w:r>
          </w:p>
        </w:tc>
      </w:tr>
    </w:tbl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lastRenderedPageBreak/>
        <w:t>Ключевые даты: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3"/>
        <w:gridCol w:w="1974"/>
      </w:tblGrid>
      <w:tr w:rsidR="00A44B94" w:rsidRPr="00A44B94" w:rsidTr="00A44B94">
        <w:trPr>
          <w:tblCellSpacing w:w="0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Рассылка 1-го информационного письма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До 7 ноября 2012 г.</w:t>
            </w:r>
          </w:p>
        </w:tc>
      </w:tr>
      <w:tr w:rsidR="00A44B94" w:rsidRPr="00A44B94" w:rsidTr="00A44B94">
        <w:trPr>
          <w:tblCellSpacing w:w="0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Прием тезисов докладов и заявок на участие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До 15 декабря 2012 г.</w:t>
            </w:r>
          </w:p>
        </w:tc>
      </w:tr>
      <w:tr w:rsidR="00A44B94" w:rsidRPr="00A44B94" w:rsidTr="00A44B94">
        <w:trPr>
          <w:tblCellSpacing w:w="0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Рассылка извещения о принятии тезисов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До 30 января 2013 г.</w:t>
            </w:r>
          </w:p>
        </w:tc>
      </w:tr>
      <w:tr w:rsidR="00A44B94" w:rsidRPr="00A44B94" w:rsidTr="00A44B94">
        <w:trPr>
          <w:tblCellSpacing w:w="0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Рассылка 2-го информационного письма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До 30 марта 2013 г.</w:t>
            </w:r>
          </w:p>
        </w:tc>
      </w:tr>
      <w:tr w:rsidR="00A44B94" w:rsidRPr="00A44B94" w:rsidTr="00A44B94">
        <w:trPr>
          <w:tblCellSpacing w:w="0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Оплата регистрационного взноса в размере 95 $ США (ранняя регистрация)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До 15 мая 2013 г.</w:t>
            </w:r>
          </w:p>
        </w:tc>
      </w:tr>
      <w:tr w:rsidR="00A44B94" w:rsidRPr="00A44B94" w:rsidTr="00A44B94">
        <w:trPr>
          <w:tblCellSpacing w:w="0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Оплата регистрационного взноса в размере 105$ США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До 3 июня 2013 г.</w:t>
            </w:r>
          </w:p>
        </w:tc>
      </w:tr>
      <w:tr w:rsidR="00A44B94" w:rsidRPr="00A44B94" w:rsidTr="00A44B94">
        <w:trPr>
          <w:tblCellSpacing w:w="0" w:type="dxa"/>
          <w:jc w:val="center"/>
        </w:trPr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Заезд участников конференции в Душанбе</w:t>
            </w:r>
          </w:p>
        </w:tc>
        <w:tc>
          <w:tcPr>
            <w:tcW w:w="0" w:type="auto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4 июня 2013 г.</w:t>
            </w:r>
          </w:p>
        </w:tc>
      </w:tr>
    </w:tbl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В сборник тезисов будут включены только тезисы тех участников, которые оплатили регистрационный взнос.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Тезисы и заявки просьба направлять</w:t>
      </w:r>
      <w:r w:rsidRPr="00A44B94">
        <w:rPr>
          <w:rFonts w:ascii="Arial CYR" w:hAnsi="Arial CYR" w:cs="Arial CYR"/>
          <w:color w:val="4C3C28"/>
        </w:rPr>
        <w:t> ученому секретарю конференции Горшковой Раисе Михайловне </w:t>
      </w:r>
      <w:hyperlink r:id="rId6" w:history="1">
        <w:r w:rsidRPr="00A44B94">
          <w:rPr>
            <w:rFonts w:ascii="Arial CYR" w:hAnsi="Arial CYR" w:cs="Arial CYR"/>
            <w:color w:val="0000FF"/>
            <w:u w:val="single"/>
          </w:rPr>
          <w:t>gorshkova.raisa@gmail.com</w:t>
        </w:r>
      </w:hyperlink>
      <w:r w:rsidRPr="00A44B94">
        <w:rPr>
          <w:rFonts w:ascii="Arial CYR" w:hAnsi="Arial CYR" w:cs="Arial CYR"/>
          <w:color w:val="4C3C28"/>
        </w:rPr>
        <w:t> в виде вложенного файла в письме.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jc w:val="center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Заявки на участие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8"/>
      </w:tblGrid>
      <w:tr w:rsidR="00A44B94" w:rsidRPr="00A44B94" w:rsidTr="00A44B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Заявки просим присылать в виде файла </w:t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rtf</w:t>
            </w:r>
            <w:proofErr w:type="spell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 xml:space="preserve"> по следующей форме: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Фамилия, имя, отчество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Пол (</w:t>
            </w:r>
            <w:proofErr w:type="gram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м</w:t>
            </w:r>
            <w:proofErr w:type="gram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/ж)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Место работы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Должность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Телефон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Факс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e-</w:t>
            </w:r>
            <w:proofErr w:type="spell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mail</w:t>
            </w:r>
            <w:proofErr w:type="spellEnd"/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Предполагаемое название доклада</w:t>
            </w:r>
          </w:p>
          <w:p w:rsidR="00A44B94" w:rsidRPr="00A44B94" w:rsidRDefault="00A44B94" w:rsidP="00A44B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Предполагаемая форма участия:</w:t>
            </w:r>
          </w:p>
          <w:p w:rsidR="00A44B94" w:rsidRPr="00A44B94" w:rsidRDefault="00A44B94" w:rsidP="00A44B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устный доклад (30 мин),</w:t>
            </w:r>
          </w:p>
          <w:p w:rsidR="00A44B94" w:rsidRPr="00A44B94" w:rsidRDefault="00A44B94" w:rsidP="00A44B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устный доклад (15 мин),</w:t>
            </w:r>
          </w:p>
          <w:p w:rsidR="00A44B94" w:rsidRPr="00A44B94" w:rsidRDefault="00A44B94" w:rsidP="00A44B9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стендовый доклад</w:t>
            </w:r>
          </w:p>
        </w:tc>
      </w:tr>
    </w:tbl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Если докладов несколько, пункты 8-9 повторяются для каждого доклада.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proofErr w:type="gramStart"/>
      <w:r w:rsidRPr="00A44B94">
        <w:rPr>
          <w:rFonts w:ascii="Arial CYR" w:hAnsi="Arial CYR" w:cs="Arial CYR"/>
          <w:b/>
          <w:bCs/>
          <w:color w:val="4C3C28"/>
        </w:rPr>
        <w:t>Тезисы </w:t>
      </w:r>
      <w:r w:rsidRPr="00A44B94">
        <w:rPr>
          <w:rFonts w:ascii="Arial CYR" w:hAnsi="Arial CYR" w:cs="Arial CYR"/>
          <w:color w:val="4C3C28"/>
        </w:rPr>
        <w:t>следует подавать в электронном виде (формат RTF, не более 1 стр., размер всех полей 25 мм, шрифт (</w:t>
      </w:r>
      <w:proofErr w:type="spellStart"/>
      <w:r w:rsidRPr="00A44B94">
        <w:rPr>
          <w:rFonts w:ascii="Arial CYR" w:hAnsi="Arial CYR" w:cs="Arial CYR"/>
          <w:color w:val="4C3C28"/>
        </w:rPr>
        <w:t>Times</w:t>
      </w:r>
      <w:proofErr w:type="spellEnd"/>
      <w:r w:rsidRPr="00A44B94">
        <w:rPr>
          <w:rFonts w:ascii="Arial CYR" w:hAnsi="Arial CYR" w:cs="Arial CYR"/>
          <w:color w:val="4C3C28"/>
        </w:rPr>
        <w:t xml:space="preserve"> </w:t>
      </w:r>
      <w:proofErr w:type="spellStart"/>
      <w:r w:rsidRPr="00A44B94">
        <w:rPr>
          <w:rFonts w:ascii="Arial CYR" w:hAnsi="Arial CYR" w:cs="Arial CYR"/>
          <w:color w:val="4C3C28"/>
        </w:rPr>
        <w:t>New</w:t>
      </w:r>
      <w:proofErr w:type="spellEnd"/>
      <w:r w:rsidRPr="00A44B94">
        <w:rPr>
          <w:rFonts w:ascii="Arial CYR" w:hAnsi="Arial CYR" w:cs="Arial CYR"/>
          <w:color w:val="4C3C28"/>
        </w:rPr>
        <w:t xml:space="preserve"> </w:t>
      </w:r>
      <w:proofErr w:type="spellStart"/>
      <w:r w:rsidRPr="00A44B94">
        <w:rPr>
          <w:rFonts w:ascii="Arial CYR" w:hAnsi="Arial CYR" w:cs="Arial CYR"/>
          <w:color w:val="4C3C28"/>
        </w:rPr>
        <w:t>Roman</w:t>
      </w:r>
      <w:proofErr w:type="spellEnd"/>
      <w:r w:rsidRPr="00A44B94">
        <w:rPr>
          <w:rFonts w:ascii="Arial CYR" w:hAnsi="Arial CYR" w:cs="Arial CYR"/>
          <w:color w:val="4C3C28"/>
        </w:rPr>
        <w:t xml:space="preserve"> 14 </w:t>
      </w:r>
      <w:proofErr w:type="spellStart"/>
      <w:r w:rsidRPr="00A44B94">
        <w:rPr>
          <w:rFonts w:ascii="Arial CYR" w:hAnsi="Arial CYR" w:cs="Arial CYR"/>
          <w:color w:val="4C3C28"/>
        </w:rPr>
        <w:t>pt</w:t>
      </w:r>
      <w:proofErr w:type="spellEnd"/>
      <w:r w:rsidRPr="00A44B94">
        <w:rPr>
          <w:rFonts w:ascii="Arial CYR" w:hAnsi="Arial CYR" w:cs="Arial CYR"/>
          <w:color w:val="4C3C28"/>
        </w:rPr>
        <w:t>.) по образцу: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7"/>
      </w:tblGrid>
      <w:tr w:rsidR="00A44B94" w:rsidRPr="00A44B94" w:rsidTr="00A44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ЗАГОЛОВОК (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полужирный шрифт, заглавными буквами, центрированный, 1 интервал</w:t>
            </w:r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)</w:t>
            </w:r>
          </w:p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1 пустая строка</w:t>
            </w:r>
          </w:p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b/>
                <w:bCs/>
                <w:color w:val="4C3C28"/>
                <w:sz w:val="18"/>
                <w:szCs w:val="18"/>
              </w:rPr>
              <w:t>Фамилия И.О. авторов</w:t>
            </w: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 (</w:t>
            </w:r>
            <w:proofErr w:type="gramStart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полужирный</w:t>
            </w:r>
            <w:proofErr w:type="gramEnd"/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, центрированный)</w:t>
            </w:r>
          </w:p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1 пустая строка</w:t>
            </w:r>
          </w:p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i/>
                <w:iCs/>
                <w:color w:val="4C3C28"/>
                <w:sz w:val="18"/>
                <w:szCs w:val="18"/>
              </w:rPr>
              <w:t>Полное название организации, город, e-</w:t>
            </w:r>
            <w:proofErr w:type="spellStart"/>
            <w:r w:rsidRPr="00A44B94">
              <w:rPr>
                <w:rFonts w:ascii="Arial CYR" w:hAnsi="Arial CYR" w:cs="Arial CYR"/>
                <w:i/>
                <w:iCs/>
                <w:color w:val="4C3C28"/>
                <w:sz w:val="18"/>
                <w:szCs w:val="18"/>
              </w:rPr>
              <w:t>mail</w:t>
            </w:r>
            <w:proofErr w:type="spellEnd"/>
            <w:r w:rsidRPr="00A44B94">
              <w:rPr>
                <w:rFonts w:ascii="Arial CYR" w:hAnsi="Arial CYR" w:cs="Arial CYR"/>
                <w:i/>
                <w:iCs/>
                <w:color w:val="4C3C28"/>
                <w:sz w:val="18"/>
                <w:szCs w:val="18"/>
              </w:rPr>
              <w:t> (выравнивание по левому краю, 1 интервал, курсив)</w:t>
            </w:r>
          </w:p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1 пустая строка</w:t>
            </w:r>
          </w:p>
          <w:p w:rsidR="00A44B94" w:rsidRPr="00A44B94" w:rsidRDefault="00A44B94" w:rsidP="00A44B94">
            <w:pPr>
              <w:spacing w:before="100" w:beforeAutospacing="1" w:after="100" w:afterAutospacing="1"/>
              <w:rPr>
                <w:rFonts w:ascii="Arial CYR" w:hAnsi="Arial CYR" w:cs="Arial CYR"/>
                <w:color w:val="4C3C28"/>
                <w:sz w:val="18"/>
                <w:szCs w:val="18"/>
              </w:rPr>
            </w:pPr>
            <w:r w:rsidRPr="00A44B94">
              <w:rPr>
                <w:rFonts w:ascii="Arial CYR" w:hAnsi="Arial CYR" w:cs="Arial CYR"/>
                <w:color w:val="4C3C28"/>
                <w:sz w:val="18"/>
                <w:szCs w:val="18"/>
              </w:rPr>
              <w:t>Текст (выравнивание по ширине, 1-2 интервала)</w:t>
            </w:r>
          </w:p>
        </w:tc>
      </w:tr>
    </w:tbl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proofErr w:type="spellStart"/>
      <w:r w:rsidRPr="00A44B94">
        <w:rPr>
          <w:rFonts w:ascii="Arial CYR" w:hAnsi="Arial CYR" w:cs="Arial CYR"/>
          <w:color w:val="4C3C28"/>
        </w:rPr>
        <w:lastRenderedPageBreak/>
        <w:t>Темплат</w:t>
      </w:r>
      <w:proofErr w:type="spellEnd"/>
      <w:r w:rsidRPr="00A44B94">
        <w:rPr>
          <w:rFonts w:ascii="Arial CYR" w:hAnsi="Arial CYR" w:cs="Arial CYR"/>
          <w:color w:val="4C3C28"/>
        </w:rPr>
        <w:t xml:space="preserve"> для составления тезисов можно найти на сайте конференции.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Регистрационный взнос</w:t>
      </w:r>
      <w:r w:rsidRPr="00A44B94">
        <w:rPr>
          <w:rFonts w:ascii="Arial CYR" w:hAnsi="Arial CYR" w:cs="Arial CYR"/>
          <w:color w:val="4C3C28"/>
        </w:rPr>
        <w:t> составляет 95 $ США при ранней регистрации и 105$ США  при поздней (включая оплату на месте) и включает:</w:t>
      </w:r>
    </w:p>
    <w:p w:rsidR="00A44B94" w:rsidRPr="00A44B94" w:rsidRDefault="00A44B94" w:rsidP="00A44B94">
      <w:pPr>
        <w:numPr>
          <w:ilvl w:val="0"/>
          <w:numId w:val="4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Участие во всех заседаниях конференции</w:t>
      </w:r>
    </w:p>
    <w:p w:rsidR="00A44B94" w:rsidRPr="00A44B94" w:rsidRDefault="00A44B94" w:rsidP="00A44B94">
      <w:pPr>
        <w:numPr>
          <w:ilvl w:val="0"/>
          <w:numId w:val="4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Сборник тезисов и программа</w:t>
      </w:r>
    </w:p>
    <w:p w:rsidR="00A44B94" w:rsidRPr="00A44B94" w:rsidRDefault="00A44B94" w:rsidP="00A44B94">
      <w:pPr>
        <w:numPr>
          <w:ilvl w:val="0"/>
          <w:numId w:val="4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Папка участников</w:t>
      </w:r>
    </w:p>
    <w:p w:rsidR="00A44B94" w:rsidRPr="00A44B94" w:rsidRDefault="00A44B94" w:rsidP="00A44B94">
      <w:pPr>
        <w:numPr>
          <w:ilvl w:val="0"/>
          <w:numId w:val="4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Кофе-брейки</w:t>
      </w:r>
    </w:p>
    <w:p w:rsidR="00A44B94" w:rsidRPr="00A44B94" w:rsidRDefault="00A44B94" w:rsidP="00A44B94">
      <w:pPr>
        <w:numPr>
          <w:ilvl w:val="0"/>
          <w:numId w:val="4"/>
        </w:num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Приветственный фуршет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color w:val="4C3C28"/>
        </w:rPr>
        <w:t>Банкет конференции оплачивается отдельно.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Для студентов и аспирантов</w:t>
      </w:r>
      <w:r w:rsidRPr="00A44B94">
        <w:rPr>
          <w:rFonts w:ascii="Arial CYR" w:hAnsi="Arial CYR" w:cs="Arial CYR"/>
          <w:color w:val="4C3C28"/>
        </w:rPr>
        <w:t> (при предъявлении соответствующего удостоверения) организационный взнос составляет 45 $ США при ранней регистрации и 55$ США при обычной регистрации.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color w:val="4C3C28"/>
        </w:rPr>
        <w:t>Дополнительная информация может быть получена</w:t>
      </w:r>
      <w:proofErr w:type="gramStart"/>
      <w:r w:rsidRPr="00A44B94">
        <w:rPr>
          <w:rFonts w:ascii="Arial CYR" w:hAnsi="Arial CYR" w:cs="Arial CYR"/>
          <w:b/>
          <w:bCs/>
          <w:color w:val="4C3C28"/>
        </w:rPr>
        <w:t> </w:t>
      </w:r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>Н</w:t>
      </w:r>
      <w:proofErr w:type="gramEnd"/>
      <w:r w:rsidRPr="00A44B94">
        <w:rPr>
          <w:rFonts w:ascii="Arial CYR" w:hAnsi="Arial CYR" w:cs="Arial CYR"/>
          <w:b/>
          <w:bCs/>
          <w:color w:val="4C3C28"/>
        </w:rPr>
        <w:t>а сайте конференции: </w:t>
      </w:r>
      <w:hyperlink r:id="rId7" w:history="1">
        <w:r w:rsidRPr="00A44B94">
          <w:rPr>
            <w:rFonts w:ascii="Arial CYR" w:hAnsi="Arial CYR" w:cs="Arial CYR"/>
            <w:color w:val="0000FF"/>
            <w:u w:val="single"/>
          </w:rPr>
          <w:t>http://www.chemistry.tj/index.php?option=com_content&amp;view=article&amp;id=76&amp;Itemid=100&amp;lang=ru</w:t>
        </w:r>
      </w:hyperlink>
      <w:r w:rsidRPr="00A44B94">
        <w:rPr>
          <w:rFonts w:ascii="Arial CYR" w:hAnsi="Arial CYR" w:cs="Arial CYR"/>
          <w:color w:val="4C3C28"/>
        </w:rPr>
        <w:br/>
      </w:r>
      <w:r w:rsidRPr="00A44B94">
        <w:rPr>
          <w:rFonts w:ascii="Arial CYR" w:hAnsi="Arial CYR" w:cs="Arial CYR"/>
          <w:b/>
          <w:bCs/>
          <w:color w:val="4C3C28"/>
        </w:rPr>
        <w:t>и у ученых секретарей конференции по адресам: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i/>
          <w:iCs/>
          <w:color w:val="4C3C28"/>
        </w:rPr>
        <w:t>Локтева Екатерина Сергеевна</w:t>
      </w:r>
      <w:r w:rsidRPr="00A44B94">
        <w:rPr>
          <w:rFonts w:ascii="Arial CYR" w:hAnsi="Arial CYR" w:cs="Arial CYR"/>
          <w:color w:val="4C3C28"/>
        </w:rPr>
        <w:t xml:space="preserve"> (МГУ имени </w:t>
      </w:r>
      <w:proofErr w:type="spellStart"/>
      <w:r w:rsidRPr="00A44B94">
        <w:rPr>
          <w:rFonts w:ascii="Arial CYR" w:hAnsi="Arial CYR" w:cs="Arial CYR"/>
          <w:color w:val="4C3C28"/>
        </w:rPr>
        <w:t>М.В.Ломоносова</w:t>
      </w:r>
      <w:proofErr w:type="spellEnd"/>
      <w:r w:rsidRPr="00A44B94">
        <w:rPr>
          <w:rFonts w:ascii="Arial CYR" w:hAnsi="Arial CYR" w:cs="Arial CYR"/>
          <w:color w:val="4C3C28"/>
        </w:rPr>
        <w:t>, Москва) </w:t>
      </w:r>
      <w:hyperlink r:id="rId8" w:history="1">
        <w:r w:rsidRPr="00A44B94">
          <w:rPr>
            <w:rFonts w:ascii="Arial CYR" w:hAnsi="Arial CYR" w:cs="Arial CYR"/>
            <w:color w:val="0000FF"/>
            <w:u w:val="single"/>
          </w:rPr>
          <w:t>LES@kge.msu.ru</w:t>
        </w:r>
      </w:hyperlink>
      <w:r w:rsidRPr="00A44B94">
        <w:rPr>
          <w:rFonts w:ascii="Arial CYR" w:hAnsi="Arial CYR" w:cs="Arial CYR"/>
          <w:color w:val="4C3C28"/>
        </w:rPr>
        <w:t>, тел. 8-495-939 33 37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i/>
          <w:iCs/>
          <w:color w:val="4C3C28"/>
        </w:rPr>
        <w:t>Горшкова Раиса Михайловна</w:t>
      </w:r>
      <w:r w:rsidRPr="00A44B94">
        <w:rPr>
          <w:rFonts w:ascii="Arial CYR" w:hAnsi="Arial CYR" w:cs="Arial CYR"/>
          <w:color w:val="4C3C28"/>
        </w:rPr>
        <w:t> (Институт химии им. В.И. Никитина АН РТ) </w:t>
      </w:r>
      <w:hyperlink r:id="rId9" w:history="1">
        <w:r w:rsidRPr="00A44B94">
          <w:rPr>
            <w:rFonts w:ascii="Arial CYR" w:hAnsi="Arial CYR" w:cs="Arial CYR"/>
            <w:color w:val="0000FF"/>
            <w:u w:val="single"/>
          </w:rPr>
          <w:t>gorshkova.raisa@gmail.com</w:t>
        </w:r>
      </w:hyperlink>
      <w:r w:rsidRPr="00A44B94">
        <w:rPr>
          <w:rFonts w:ascii="Arial CYR" w:hAnsi="Arial CYR" w:cs="Arial CYR"/>
          <w:color w:val="4C3C28"/>
        </w:rPr>
        <w:t>, тел. (8-10-992) 919629292</w:t>
      </w:r>
    </w:p>
    <w:p w:rsidR="00A44B94" w:rsidRPr="00A44B94" w:rsidRDefault="00A44B94" w:rsidP="00A44B94">
      <w:pPr>
        <w:shd w:val="clear" w:color="auto" w:fill="FFFFDE"/>
        <w:spacing w:before="100" w:beforeAutospacing="1" w:after="100" w:afterAutospacing="1"/>
        <w:rPr>
          <w:rFonts w:ascii="Arial CYR" w:hAnsi="Arial CYR" w:cs="Arial CYR"/>
          <w:color w:val="4C3C28"/>
        </w:rPr>
      </w:pPr>
      <w:r w:rsidRPr="00A44B94">
        <w:rPr>
          <w:rFonts w:ascii="Arial CYR" w:hAnsi="Arial CYR" w:cs="Arial CYR"/>
          <w:b/>
          <w:bCs/>
          <w:i/>
          <w:iCs/>
          <w:color w:val="4C3C28"/>
        </w:rPr>
        <w:t>Еременко Анастасия Николаевна</w:t>
      </w:r>
      <w:r w:rsidRPr="00A44B94">
        <w:rPr>
          <w:rFonts w:ascii="Arial CYR" w:hAnsi="Arial CYR" w:cs="Arial CYR"/>
          <w:color w:val="4C3C28"/>
        </w:rPr>
        <w:t xml:space="preserve"> (Институт </w:t>
      </w:r>
      <w:proofErr w:type="spellStart"/>
      <w:r w:rsidRPr="00A44B94">
        <w:rPr>
          <w:rFonts w:ascii="Arial CYR" w:hAnsi="Arial CYR" w:cs="Arial CYR"/>
          <w:color w:val="4C3C28"/>
        </w:rPr>
        <w:t>углехимии</w:t>
      </w:r>
      <w:proofErr w:type="spellEnd"/>
      <w:r w:rsidRPr="00A44B94">
        <w:rPr>
          <w:rFonts w:ascii="Arial CYR" w:hAnsi="Arial CYR" w:cs="Arial CYR"/>
          <w:color w:val="4C3C28"/>
        </w:rPr>
        <w:t xml:space="preserve"> и химического матери</w:t>
      </w:r>
      <w:r>
        <w:rPr>
          <w:rFonts w:ascii="Arial CYR" w:hAnsi="Arial CYR" w:cs="Arial CYR"/>
          <w:color w:val="4C3C28"/>
          <w:shd w:val="clear" w:color="auto" w:fill="FFFFDE"/>
        </w:rPr>
        <w:t>аловедения СО РАН, ООО "</w:t>
      </w:r>
      <w:proofErr w:type="spellStart"/>
      <w:r>
        <w:rPr>
          <w:rFonts w:ascii="Arial CYR" w:hAnsi="Arial CYR" w:cs="Arial CYR"/>
          <w:color w:val="4C3C28"/>
          <w:shd w:val="clear" w:color="auto" w:fill="FFFFDE"/>
        </w:rPr>
        <w:t>Эконовохим</w:t>
      </w:r>
      <w:proofErr w:type="spellEnd"/>
      <w:r>
        <w:rPr>
          <w:rFonts w:ascii="Arial CYR" w:hAnsi="Arial CYR" w:cs="Arial CYR"/>
          <w:color w:val="4C3C28"/>
          <w:shd w:val="clear" w:color="auto" w:fill="FFFFDE"/>
        </w:rPr>
        <w:t>")</w:t>
      </w:r>
      <w:r>
        <w:rPr>
          <w:rStyle w:val="apple-converted-space"/>
          <w:rFonts w:ascii="Arial CYR" w:hAnsi="Arial CYR" w:cs="Arial CYR"/>
          <w:color w:val="4C3C28"/>
          <w:shd w:val="clear" w:color="auto" w:fill="FFFFDE"/>
        </w:rPr>
        <w:t> </w:t>
      </w:r>
      <w:hyperlink r:id="rId10" w:history="1">
        <w:r>
          <w:rPr>
            <w:rStyle w:val="a4"/>
            <w:rFonts w:ascii="Arial CYR" w:hAnsi="Arial CYR" w:cs="Arial CYR"/>
            <w:shd w:val="clear" w:color="auto" w:fill="FFFFDE"/>
          </w:rPr>
          <w:t>iccms_id@rambler.ru</w:t>
        </w:r>
      </w:hyperlink>
      <w:r>
        <w:rPr>
          <w:rFonts w:ascii="Arial CYR" w:hAnsi="Arial CYR" w:cs="Arial CYR"/>
          <w:color w:val="4C3C28"/>
          <w:shd w:val="clear" w:color="auto" w:fill="FFFFDE"/>
        </w:rPr>
        <w:t>, тел. (8-384-2) 364966</w:t>
      </w:r>
      <w:bookmarkStart w:id="0" w:name="_GoBack"/>
      <w:bookmarkEnd w:id="0"/>
    </w:p>
    <w:p w:rsidR="00081132" w:rsidRDefault="00081132"/>
    <w:sectPr w:rsidR="0008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A4"/>
    <w:multiLevelType w:val="multilevel"/>
    <w:tmpl w:val="AC720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377B5"/>
    <w:multiLevelType w:val="multilevel"/>
    <w:tmpl w:val="7166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288B"/>
    <w:multiLevelType w:val="multilevel"/>
    <w:tmpl w:val="07D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87D0D"/>
    <w:multiLevelType w:val="multilevel"/>
    <w:tmpl w:val="3A3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94"/>
    <w:rsid w:val="00081132"/>
    <w:rsid w:val="00A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44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4B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B9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4B9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44B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4B94"/>
  </w:style>
  <w:style w:type="character" w:styleId="a4">
    <w:name w:val="Hyperlink"/>
    <w:basedOn w:val="a0"/>
    <w:uiPriority w:val="99"/>
    <w:unhideWhenUsed/>
    <w:rsid w:val="00A44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44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4B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B9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4B9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44B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4B94"/>
  </w:style>
  <w:style w:type="character" w:styleId="a4">
    <w:name w:val="Hyperlink"/>
    <w:basedOn w:val="a0"/>
    <w:uiPriority w:val="99"/>
    <w:unhideWhenUsed/>
    <w:rsid w:val="00A4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@kge.m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istry.tj/index.php?option=com_content&amp;view=article&amp;id=76&amp;Itemid=100&amp;lang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shkova.rais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cms_id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shkova.rais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>Work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2013-01-10T13:39:00Z</dcterms:created>
  <dcterms:modified xsi:type="dcterms:W3CDTF">2013-01-10T13:40:00Z</dcterms:modified>
</cp:coreProperties>
</file>