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5A" w:rsidRPr="00AB7B5A" w:rsidRDefault="00AB7B5A" w:rsidP="00AB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B5A">
        <w:rPr>
          <w:rFonts w:ascii="Times New Roman" w:hAnsi="Times New Roman" w:cs="Times New Roman"/>
          <w:b/>
          <w:sz w:val="28"/>
        </w:rPr>
        <w:t>Учебная дисциплина</w:t>
      </w:r>
    </w:p>
    <w:p w:rsidR="00AB7B5A" w:rsidRPr="00AB7B5A" w:rsidRDefault="00AB7B5A" w:rsidP="00AB7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7B5A">
        <w:rPr>
          <w:rFonts w:ascii="Times New Roman" w:hAnsi="Times New Roman" w:cs="Times New Roman"/>
          <w:b/>
          <w:sz w:val="28"/>
        </w:rPr>
        <w:t>«Инженерные сети и оборудование»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</w:tcPr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AB7B5A" w:rsidRPr="00AB7B5A" w:rsidRDefault="00AB7B5A" w:rsidP="00AB7B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"Специальная инженерная подготовка"</w:t>
            </w:r>
          </w:p>
        </w:tc>
      </w:tr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10" w:type="dxa"/>
          </w:tcPr>
          <w:p w:rsidR="00AB7B5A" w:rsidRPr="00AB7B5A" w:rsidRDefault="00AB7B5A" w:rsidP="00AB7B5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</w:rPr>
              <w:t xml:space="preserve">Условия формирования микроклимата помещений, определение его параметров; устройство систем отопления, теплоснабжения, вентиляции, кондиционирования воздуха и газоснабжения; принципы расчетов систем отопления и естественной вентиляции зданий; состав строительных работ, выполняемых </w:t>
            </w:r>
            <w:proofErr w:type="gramStart"/>
            <w:r w:rsidRPr="00AB7B5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AB7B5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AB7B5A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AB7B5A">
              <w:rPr>
                <w:rFonts w:ascii="Times New Roman" w:hAnsi="Times New Roman" w:cs="Times New Roman"/>
                <w:sz w:val="24"/>
              </w:rPr>
              <w:t xml:space="preserve"> прокладке инженерных систем.</w:t>
            </w:r>
          </w:p>
        </w:tc>
      </w:tr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10" w:type="dxa"/>
          </w:tcPr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использовать специальные знания основ электротехники и электроники, гидравлики и </w:t>
            </w:r>
            <w:proofErr w:type="spellStart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 при расчете и проектировании инженерных сетей  в строительстве.</w:t>
            </w:r>
          </w:p>
        </w:tc>
      </w:tr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10" w:type="dxa"/>
          </w:tcPr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 и </w:t>
            </w:r>
            <w:proofErr w:type="spellStart"/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водообеспечение</w:t>
            </w:r>
            <w:proofErr w:type="spellEnd"/>
          </w:p>
        </w:tc>
      </w:tr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10" w:type="dxa"/>
          </w:tcPr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4 зачетные единицы, 160 академических часов (98 аудиторных, 62 – самостоятельная работа)</w:t>
            </w:r>
          </w:p>
        </w:tc>
      </w:tr>
      <w:tr w:rsidR="00AB7B5A" w:rsidTr="00AB7B5A">
        <w:tc>
          <w:tcPr>
            <w:tcW w:w="4361" w:type="dxa"/>
          </w:tcPr>
          <w:p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AB7B5A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10" w:type="dxa"/>
          </w:tcPr>
          <w:p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6-й семестр: коллоквиум, экзамен</w:t>
            </w:r>
          </w:p>
        </w:tc>
      </w:tr>
    </w:tbl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7B5A"/>
    <w:rsid w:val="00347F64"/>
    <w:rsid w:val="00A0149E"/>
    <w:rsid w:val="00AB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5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B7B5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B5A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2022-10-21T06:19:00Z</dcterms:created>
  <dcterms:modified xsi:type="dcterms:W3CDTF">2022-10-21T06:21:00Z</dcterms:modified>
</cp:coreProperties>
</file>